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Informationspflicht gemäß Art. 13 EU DSGVO (Direkterhebung)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jc w:val="center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Gemäß Artikel 14 EU DSGVO (Dritterhebung)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Hiermit informieren wir sie, wie wir mit Ihren personenbezogenen Daten verfahren, die wir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im Rahmen des Vertragsverhältnisses erheben und speichern. Personenbezogene Daten sind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Informationen, die sich auf Ihre Person beziehen und zu Ihrer Identifizierung führen können: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Namen und Kontaktdaten des Verantwortlichen, des Vertreters des Verantwortlichen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sowie eines etwaigen Datenschutzbeauftragten: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Verantwortlicher: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Winkel GmbH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Geschäftsführer: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Thomas Winkel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Sitz der Gesellschaft: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Am Brink 13, 21726 Kranenburg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Telefon: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04140 876467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Mobil: 0171 4822718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FF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Internet: </w:t>
      </w:r>
      <w:r w:rsidRPr="00162BFF">
        <w:rPr>
          <w:rFonts w:ascii="Browallia New" w:hAnsi="Browallia New" w:cs="Aharoni"/>
          <w:color w:val="0000FF"/>
          <w:sz w:val="16"/>
          <w:szCs w:val="16"/>
        </w:rPr>
        <w:t>www.</w:t>
      </w:r>
      <w:r w:rsidRPr="00162BFF">
        <w:rPr>
          <w:rFonts w:ascii="Browallia New" w:hAnsi="Browallia New" w:cs="Aharoni"/>
          <w:color w:val="0000FF"/>
          <w:sz w:val="16"/>
          <w:szCs w:val="16"/>
        </w:rPr>
        <w:t>winkel-sanitaer-heizung-solar.de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Datenschutzbeauftragter: Entfällt wegen Firmengröße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Zweck der Verarbeitung und Rechtsgrundlage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Die Erhebung der Daten erfolgt zum Zwecke de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r Angebote, Auftragsbestätigungen, Rechnungen für geleistete Arbeiten im Bereich der Heizung,- Sanitär,- Solar Bereiche. 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Kategorie der Daten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Folgende personenbezogene Daten werden erhoben und verarbeitet: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Persönliche Daten, wie Namen und Vorname, postalische Adressen, elektronische Adressen,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Geburtsdatum, Geburtsort, wirtschaftliche Verhältnisse und gegebenenfalls Weiteres.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Empfänger der Daten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Die Daten werden ganz oder teilweise übermittelt an staatliche Behörden, Finanzämter,</w:t>
      </w:r>
      <w:r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Zollämter, Gewerbeaufsichtsämter und Ähnliche, an Notare, Amtsgerichte, Baubehörden,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Katasterämter, Messdienstleister und andere.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Dauer der Speicherung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Die Daten werden so lange gespeichert, ergänzt und fortgeschrieben, wie es der Zweck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erfordert, für den die personenbezogenen Daten erhoben werden und der von Ihnen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gewünscht ist, sofern keine anderslautenden gesetzlichen Verpflichtungen, wie zum Beispiel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Aufbewahrungspflichten nach Geldwäschegesetz (5 Jahre), Handelsrecht (6 Jahre), oder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Steuerrecht (10 Jahre), entgegenstehen.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Recht auf Auskunft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Sie haben das Recht, jederzeit Auskunft über Ihre von uns gespeicherten Daten zu verlangen.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Recht auf Berichtigung oder Löschung der Daten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Für den Fall, dass diese Daten unrichtig oder unvollständig gespeichert wurden, haben Sie das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Recht, eine Berichtigung oder Löschung zu verlangen.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Recht auf Einschränkung der Verarbeitung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Sie dürfen die Einschränkung der Verarbeitung verlangen, wenn Sie die Richtigkeit der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erhobenen Daten bestreiten, die Verarbeitung unrechtmäßig oder der Zweck der Verarbeitung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erfüllt ist.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Recht auf Widerruf der Einwilligung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Soweit die Verarbeitung Ihrer personenbezogenen Daten zu einem bestimmten Zweck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aufgrund Ihrer Einwilligung erfolgt, können Sie diese jederzeit widerrufen; bis zum Zeitpunkt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Ihres Widerrufes bleibt die Datenverarbeitung jedoch rechtmäßig.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Recht auf Widerspruch gegen die Verarbeitung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Der Verarbeitung Ihrer personenbezogenen Daten können Sie jederzeit widersprechen; eine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Verarbeitung erfolgt dann nicht mehr.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Recht auf Übertragung der Daten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Sie haben das Recht, Ihre dem Verantwortlichen zur Verfügung gestellten Daten auf einen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Dritten übertragen zu lassen.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Beschwerderecht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Sie haben das Recht auf Beschwerde bei der Aufsichtsbehörde, wen sie der Ansicht sind, dass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die Verarbeitung der Sie betreffenden Daten rechtswidrig ist.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Datenquelle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Die Daten stammen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direkt vom Kunden,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aus I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nternet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portalen, von Tippgebern, öffentlich zugänglichen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Quellen und ähnlichen.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 xml:space="preserve">Automatisierte Entscheidungsfindung (inkl. </w:t>
      </w:r>
      <w:proofErr w:type="spellStart"/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Profiling</w:t>
      </w:r>
      <w:proofErr w:type="spellEnd"/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)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Die Daten werden zur Erfüllung von Aufträgen im Sinne der Kunden verwendet, gespeichert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und wenn sie nicht mehr vorgehalten werden müssen, vernichtet.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b/>
          <w:bCs/>
          <w:color w:val="000000"/>
          <w:sz w:val="16"/>
          <w:szCs w:val="16"/>
        </w:rPr>
      </w:pPr>
      <w:r w:rsidRPr="00162BFF">
        <w:rPr>
          <w:rFonts w:ascii="Browallia New" w:hAnsi="Browallia New" w:cs="Aharoni"/>
          <w:b/>
          <w:bCs/>
          <w:color w:val="000000"/>
          <w:sz w:val="16"/>
          <w:szCs w:val="16"/>
        </w:rPr>
        <w:t>Hinweis:</w:t>
      </w:r>
    </w:p>
    <w:p w:rsidR="00162BFF" w:rsidRPr="00162BFF" w:rsidRDefault="00162BFF" w:rsidP="00162BFF">
      <w:pPr>
        <w:autoSpaceDE w:val="0"/>
        <w:autoSpaceDN w:val="0"/>
        <w:adjustRightInd w:val="0"/>
        <w:spacing w:after="0" w:line="240" w:lineRule="auto"/>
        <w:rPr>
          <w:rFonts w:ascii="Browallia New" w:hAnsi="Browallia New" w:cs="Aharoni"/>
          <w:color w:val="000000"/>
          <w:sz w:val="16"/>
          <w:szCs w:val="16"/>
        </w:rPr>
      </w:pPr>
      <w:r w:rsidRPr="00162BFF">
        <w:rPr>
          <w:rFonts w:ascii="Browallia New" w:hAnsi="Browallia New" w:cs="Aharoni"/>
          <w:color w:val="000000"/>
          <w:sz w:val="16"/>
          <w:szCs w:val="16"/>
        </w:rPr>
        <w:t>Aus Gründen verbesserter Lesbarkeit wurde in der Rege die männliche Schreibweise</w:t>
      </w:r>
      <w:r w:rsidRPr="00162BFF">
        <w:rPr>
          <w:rFonts w:ascii="Browallia New" w:hAnsi="Browallia New" w:cs="Aharoni"/>
          <w:color w:val="000000"/>
          <w:sz w:val="16"/>
          <w:szCs w:val="16"/>
        </w:rPr>
        <w:t xml:space="preserve"> </w:t>
      </w:r>
      <w:r w:rsidRPr="00162BFF">
        <w:rPr>
          <w:rFonts w:ascii="Browallia New" w:hAnsi="Browallia New" w:cs="Aharoni"/>
          <w:color w:val="000000"/>
          <w:sz w:val="16"/>
          <w:szCs w:val="16"/>
        </w:rPr>
        <w:t>verwendet. Wir weisen an dieser Stelle ausdrücklich darauf hin, dass sowohl die männliche,</w:t>
      </w:r>
    </w:p>
    <w:p w:rsidR="00815737" w:rsidRPr="00162BFF" w:rsidRDefault="00162BFF" w:rsidP="00162BFF">
      <w:pPr>
        <w:rPr>
          <w:rFonts w:ascii="TimesNewRomanPSMT" w:hAnsi="TimesNewRomanPSMT" w:cs="Aharoni"/>
          <w:color w:val="000000"/>
          <w:sz w:val="16"/>
          <w:szCs w:val="16"/>
        </w:rPr>
      </w:pPr>
      <w:r w:rsidRPr="00162BFF">
        <w:rPr>
          <w:rFonts w:ascii="TimesNewRomanPSMT" w:hAnsi="TimesNewRomanPSMT" w:cs="Aharoni"/>
          <w:color w:val="000000"/>
          <w:sz w:val="16"/>
          <w:szCs w:val="16"/>
        </w:rPr>
        <w:t>als auch die weibliche Schreibweise gemeint sind.</w:t>
      </w:r>
    </w:p>
    <w:p w:rsidR="00162BFF" w:rsidRPr="00162BFF" w:rsidRDefault="00162BFF" w:rsidP="00162BFF">
      <w:pPr>
        <w:rPr>
          <w:rFonts w:cs="Aharoni"/>
          <w:sz w:val="16"/>
          <w:szCs w:val="16"/>
        </w:rPr>
      </w:pPr>
      <w:r w:rsidRPr="00162BFF">
        <w:rPr>
          <w:rFonts w:cs="Aharoni"/>
          <w:sz w:val="16"/>
          <w:szCs w:val="16"/>
        </w:rPr>
        <w:t xml:space="preserve">Datum Unterschrift des Kunden </w:t>
      </w:r>
    </w:p>
    <w:p w:rsidR="00162BFF" w:rsidRPr="00162BFF" w:rsidRDefault="00162BFF" w:rsidP="00162BFF">
      <w:pPr>
        <w:rPr>
          <w:rFonts w:cs="Aharoni"/>
          <w:sz w:val="16"/>
          <w:szCs w:val="16"/>
        </w:rPr>
      </w:pPr>
      <w:bookmarkStart w:id="0" w:name="_GoBack"/>
      <w:bookmarkEnd w:id="0"/>
    </w:p>
    <w:p w:rsidR="00162BFF" w:rsidRPr="00162BFF" w:rsidRDefault="00162BFF" w:rsidP="00162BFF">
      <w:pPr>
        <w:rPr>
          <w:rFonts w:cs="Aharoni"/>
          <w:sz w:val="16"/>
          <w:szCs w:val="16"/>
        </w:rPr>
      </w:pPr>
      <w:r w:rsidRPr="00162BFF">
        <w:rPr>
          <w:rFonts w:cs="Aharoni"/>
          <w:sz w:val="16"/>
          <w:szCs w:val="16"/>
        </w:rPr>
        <w:t>_______________________________________________</w:t>
      </w:r>
    </w:p>
    <w:sectPr w:rsidR="00162BFF" w:rsidRPr="00162B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FF"/>
    <w:rsid w:val="00162BFF"/>
    <w:rsid w:val="00470D2F"/>
    <w:rsid w:val="00815737"/>
    <w:rsid w:val="00C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0C9F"/>
  <w15:chartTrackingRefBased/>
  <w15:docId w15:val="{0D1F1C0F-95A0-45C4-9673-9B70E99E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2018-09-10T09:10:00Z</cp:lastPrinted>
  <dcterms:created xsi:type="dcterms:W3CDTF">2018-09-10T08:56:00Z</dcterms:created>
  <dcterms:modified xsi:type="dcterms:W3CDTF">2018-09-10T09:11:00Z</dcterms:modified>
</cp:coreProperties>
</file>